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05-0742/1302/2025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Fonts w:ascii="Times New Roman" w:eastAsia="Times New Roman" w:hAnsi="Times New Roman" w:cs="Times New Roman"/>
        </w:rPr>
        <w:t>21.05.2025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ст. 15.5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отношении: должностного лица – председателя дачного некоммерческого товарищества «НАДЕЖДА» Орехова Александра Александровича, </w:t>
      </w:r>
      <w:r>
        <w:rPr>
          <w:rStyle w:val="cat-PassportDatagrp-29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9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адрес руководителя: </w:t>
      </w:r>
      <w:r>
        <w:rPr>
          <w:rStyle w:val="cat-UserDefinedgrp-40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адрес юридического лица: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ул. Таёжная, д. 23, </w:t>
      </w:r>
      <w:r>
        <w:rPr>
          <w:rStyle w:val="cat-PassportDatagrp-30rplc-1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1rplc-1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 xml:space="preserve">Орехов Александр Александрович, являясь председателем дачного некоммерческого товарищества «НАДЕЖДА», по месту нахождения юридического лица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Белый Яр, ул. Таёжная, д. 23, до</w:t>
      </w:r>
      <w:r>
        <w:rPr>
          <w:rFonts w:ascii="Times New Roman" w:eastAsia="Times New Roman" w:hAnsi="Times New Roman" w:cs="Times New Roman"/>
        </w:rPr>
        <w:t xml:space="preserve"> 24.00 часов 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2024 года не исполнил установленную п.5 ст. 174 Налогового кодекса РФ обязанность по представлению налоговой декларации по налогу на добавленную стоимость за </w:t>
      </w:r>
      <w:r>
        <w:rPr>
          <w:rFonts w:ascii="Times New Roman" w:eastAsia="Times New Roman" w:hAnsi="Times New Roman" w:cs="Times New Roman"/>
        </w:rPr>
        <w:t>2 квартал</w:t>
      </w:r>
      <w:r>
        <w:rPr>
          <w:rFonts w:ascii="Times New Roman" w:eastAsia="Times New Roman" w:hAnsi="Times New Roman" w:cs="Times New Roman"/>
        </w:rPr>
        <w:t xml:space="preserve"> 2024 года, чем совершил правонарушение, предусмотренное ст.15.5 Кодекса Российской Федерации об административных правонарушениях.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>В отношении Орехова Александра Александровича составлен протокол об админист</w:t>
      </w:r>
      <w:r>
        <w:rPr>
          <w:rFonts w:ascii="Times New Roman" w:eastAsia="Times New Roman" w:hAnsi="Times New Roman" w:cs="Times New Roman"/>
        </w:rPr>
        <w:t>ративном правонарушении, предусмотренном ст. 15.5 КоАП РФ.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Орехов Александр Александрович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 привлекаемого лица по имеющимся в деле материалам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Факт совершения административного правонарушения и виновность Орехова Александра Александровича подтверждены совокупностью доказательств, а именно: протоколом об административном правонарушении №8617250</w:t>
      </w:r>
      <w:r>
        <w:rPr>
          <w:rFonts w:ascii="Times New Roman" w:eastAsia="Times New Roman" w:hAnsi="Times New Roman" w:cs="Times New Roman"/>
        </w:rPr>
        <w:t>65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604700002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03.04</w:t>
      </w:r>
      <w:r>
        <w:rPr>
          <w:rFonts w:ascii="Times New Roman" w:eastAsia="Times New Roman" w:hAnsi="Times New Roman" w:cs="Times New Roman"/>
        </w:rPr>
        <w:t>.2025 года; реестрами внутренних почтовых отправлений, выпиской из ЕГРЮЛ в отношении юридического лица,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</w:t>
      </w:r>
      <w:r>
        <w:rPr>
          <w:rFonts w:ascii="Times New Roman" w:eastAsia="Times New Roman" w:hAnsi="Times New Roman" w:cs="Times New Roman"/>
        </w:rPr>
        <w:t>, и другими материалами дела.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26.11</w:t>
        </w:r>
      </w:hyperlink>
      <w:r>
        <w:rPr>
          <w:rFonts w:ascii="Times New Roman" w:eastAsia="Times New Roman" w:hAnsi="Times New Roman" w:cs="Times New Roman"/>
        </w:rPr>
        <w:t xml:space="preserve"> КоАП РФ, судья приходит к выводу о виновности Орехова Александра Александровича 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Статьей 15.5 Кодекса Российской Федерации об административных правонарушениях установлена административная ответственность за нарушение </w:t>
      </w:r>
      <w:r>
        <w:rPr>
          <w:rFonts w:ascii="Times New Roman" w:eastAsia="Times New Roman" w:hAnsi="Times New Roman" w:cs="Times New Roman"/>
        </w:rPr>
        <w:t>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19 Налогового кодекса РФ (далее - НК РФ)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Подпунктом 4 пункта 1 статьи 23 НК РФ установлена обязанность налогоплательщика предоставлять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подпунктом 1 пункта 1 статьи 23, пунктом 1 статьи 45 НК РФ налогоплательщик обязан самостоятельно исполнить обязанность по уплате налога, если иное не предусмотрено законодательством о налогах и сборах. Обязанность по уплате налога должна быть выполнена в срок, установленный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пункта 5 статьи 23 НК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4310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п. 5 ст. 1</w:t>
        </w:r>
      </w:hyperlink>
      <w:r>
        <w:rPr>
          <w:rFonts w:ascii="Times New Roman" w:eastAsia="Times New Roman" w:hAnsi="Times New Roman" w:cs="Times New Roman"/>
        </w:rPr>
        <w:t>74 НК РФ налогоплательщики (в том числе являющиеся налоговыми агентами), а также лица, указанные в</w:t>
      </w:r>
      <w:r>
        <w:rPr>
          <w:rFonts w:ascii="Times New Roman" w:eastAsia="Times New Roman" w:hAnsi="Times New Roman" w:cs="Times New Roman"/>
        </w:rPr>
        <w:t> </w:t>
      </w:r>
      <w:hyperlink r:id="rId7" w:anchor="/document/10900200/entry/1610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пункте 8 статьи 161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7" w:anchor="/document/10900200/entry/173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пункте 5 статьи 173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Кодекса, обязаны представить в налоговые органы по месту своего учета соответствующую</w:t>
      </w:r>
      <w:r>
        <w:rPr>
          <w:rFonts w:ascii="Times New Roman" w:eastAsia="Times New Roman" w:hAnsi="Times New Roman" w:cs="Times New Roman"/>
        </w:rPr>
        <w:t> </w:t>
      </w:r>
      <w:hyperlink r:id="rId7" w:anchor="/multilink/10900200/paragraph/9844/number/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налоговую декларацию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по установленному</w:t>
      </w:r>
      <w:r>
        <w:rPr>
          <w:rFonts w:ascii="Times New Roman" w:eastAsia="Times New Roman" w:hAnsi="Times New Roman" w:cs="Times New Roman"/>
        </w:rPr>
        <w:t> </w:t>
      </w:r>
      <w:hyperlink r:id="rId7" w:anchor="/multilink/10900200/paragraph/9844/number/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формату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Налоговая декларация</w:t>
      </w:r>
      <w:r>
        <w:rPr>
          <w:rFonts w:ascii="Times New Roman" w:eastAsia="Times New Roman" w:hAnsi="Times New Roman" w:cs="Times New Roman"/>
        </w:rPr>
        <w:t xml:space="preserve"> за 2</w:t>
      </w:r>
      <w:r>
        <w:rPr>
          <w:rFonts w:ascii="Times New Roman" w:eastAsia="Times New Roman" w:hAnsi="Times New Roman" w:cs="Times New Roman"/>
        </w:rPr>
        <w:t xml:space="preserve"> квартал 2024г. должна была быть представлена в налоговый орган в срок не позднее 24.00 часов 25.0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.2024 года.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Согласно справке Межрайонной ИФНС России № 11 по ХМАО-Югре по состоянию на </w:t>
      </w:r>
      <w:r>
        <w:rPr>
          <w:rFonts w:ascii="Times New Roman" w:eastAsia="Times New Roman" w:hAnsi="Times New Roman" w:cs="Times New Roman"/>
        </w:rPr>
        <w:t>03.04</w:t>
      </w:r>
      <w:r>
        <w:rPr>
          <w:rFonts w:ascii="Times New Roman" w:eastAsia="Times New Roman" w:hAnsi="Times New Roman" w:cs="Times New Roman"/>
        </w:rPr>
        <w:t xml:space="preserve">.2025 налоговая декларация за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квартал 2024г.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предоставлена.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 положений ст. 2.4 КоАП РФ должностные лица подлежат административной ответственности в случае совершения ими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Объективную сторону состава административного правонарушения, предусмотренного ст. 15.5 КоАП РФ образует бездействие, выражающееся в неподаче в установленный срок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представленных материалов на момент возникновения обязанности у дачного некоммерческого товарищества «НАДЕЖДА» предоставить налоговую декларацию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2024 года, Орехов Александр Александрович осуществлял функцию руководителя.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выписки ЕГРЮЛ следует, что Орехов Александр Александрович указан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Деяние Орехова Александра Александровича судья квалифицирует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Назначая Орехову Александру Александровичу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предусмотренным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административного правонарушения, данные о личности Орехова Александра Александровича.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– председателя дачного некоммерческого товарищества «НАДЕЖДА» Орехова Александра Александровича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наказание в виде штрафа в размере 300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 УИН: </w:t>
      </w:r>
      <w:r>
        <w:rPr>
          <w:rFonts w:ascii="Times New Roman" w:eastAsia="Times New Roman" w:hAnsi="Times New Roman" w:cs="Times New Roman"/>
        </w:rPr>
        <w:t>0412365400135007422515142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3, судебный участок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верна: 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 w:line="360" w:lineRule="auto"/>
      </w:pPr>
    </w:p>
    <w:p>
      <w:pPr>
        <w:spacing w:before="0" w:after="0"/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8"/>
      <w:foot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9rplc-8">
    <w:name w:val="cat-PassportData grp-29 rplc-8"/>
    <w:basedOn w:val="DefaultParagraphFont"/>
  </w:style>
  <w:style w:type="character" w:customStyle="1" w:styleId="cat-UserDefinedgrp-39rplc-9">
    <w:name w:val="cat-UserDefined grp-39 rplc-9"/>
    <w:basedOn w:val="DefaultParagraphFont"/>
  </w:style>
  <w:style w:type="character" w:customStyle="1" w:styleId="cat-UserDefinedgrp-40rplc-11">
    <w:name w:val="cat-UserDefined grp-40 rplc-11"/>
    <w:basedOn w:val="DefaultParagraphFont"/>
  </w:style>
  <w:style w:type="character" w:customStyle="1" w:styleId="cat-PassportDatagrp-30rplc-16">
    <w:name w:val="cat-PassportData grp-30 rplc-16"/>
    <w:basedOn w:val="DefaultParagraphFont"/>
  </w:style>
  <w:style w:type="character" w:customStyle="1" w:styleId="cat-UserDefinedgrp-41rplc-17">
    <w:name w:val="cat-UserDefined grp-41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/" TargetMode="External" /><Relationship Id="rId5" Type="http://schemas.openxmlformats.org/officeDocument/2006/relationships/hyperlink" Target="garantf1://12025267.2611/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